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4C715" w14:textId="77777777" w:rsidR="00AC379F" w:rsidRPr="00A23BE0" w:rsidRDefault="00AC379F" w:rsidP="00AC379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1AF62CE0" w14:textId="77777777" w:rsidR="00AC379F" w:rsidRPr="00A23BE0" w:rsidRDefault="00AC379F" w:rsidP="00AC379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71244259" w14:textId="77777777" w:rsidR="00AC379F" w:rsidRPr="00A23BE0" w:rsidRDefault="00AC379F" w:rsidP="00AC379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3A6E6" wp14:editId="12868D0A">
                <wp:simplePos x="0" y="0"/>
                <wp:positionH relativeFrom="column">
                  <wp:posOffset>3757930</wp:posOffset>
                </wp:positionH>
                <wp:positionV relativeFrom="paragraph">
                  <wp:posOffset>156209</wp:posOffset>
                </wp:positionV>
                <wp:extent cx="2270760" cy="10953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D0ADD2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2AA94342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3A85F905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0AEF794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135CBC8A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67B9B074" w14:textId="77777777" w:rsidR="00AC379F" w:rsidRPr="001471B3" w:rsidRDefault="00AC379F" w:rsidP="00AC379F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59B3466E" w14:textId="77777777" w:rsidR="00AC379F" w:rsidRPr="00AD3954" w:rsidRDefault="00AC379F" w:rsidP="00AC379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DA1C034" w14:textId="77777777" w:rsidR="00AC379F" w:rsidRPr="00AD3954" w:rsidRDefault="00AC379F" w:rsidP="00AC379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E3A6E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" fillcolor="white [3201]" stroked="f" strokeweight=".5pt">
                <v:textbox>
                  <w:txbxContent>
                    <w:p w14:paraId="52D0ADD2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2AA94342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3A85F905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40AEF794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135CBC8A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67B9B074" w14:textId="77777777" w:rsidR="00AC379F" w:rsidRPr="001471B3" w:rsidRDefault="00AC379F" w:rsidP="00AC379F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59B3466E" w14:textId="77777777" w:rsidR="00AC379F" w:rsidRPr="00AD3954" w:rsidRDefault="00AC379F" w:rsidP="00AC379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DA1C034" w14:textId="77777777" w:rsidR="00AC379F" w:rsidRPr="00AD3954" w:rsidRDefault="00AC379F" w:rsidP="00AC379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123A49" w14:textId="77777777" w:rsidR="00AC379F" w:rsidRPr="00A23BE0" w:rsidRDefault="00AC379F" w:rsidP="00AC379F">
      <w:pPr>
        <w:rPr>
          <w:rFonts w:cs="Arial"/>
          <w:sz w:val="24"/>
          <w:szCs w:val="24"/>
        </w:rPr>
        <w:sectPr w:rsidR="00AC379F" w:rsidRPr="00A23BE0" w:rsidSect="00AC379F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3152B001" w14:textId="77777777" w:rsidR="00AC379F" w:rsidRPr="00A23BE0" w:rsidRDefault="00AC379F" w:rsidP="00AC379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176EF1">
        <w:rPr>
          <w:rFonts w:eastAsia="Garamond" w:cs="Arial"/>
          <w:sz w:val="24"/>
          <w:szCs w:val="24"/>
          <w:highlight w:val="yellow"/>
        </w:rPr>
        <w:t>PRK602543-25-XB</w:t>
      </w:r>
    </w:p>
    <w:p w14:paraId="4C36D3A7" w14:textId="77777777" w:rsidR="00AC379F" w:rsidRPr="00A23BE0" w:rsidRDefault="00AC379F" w:rsidP="00AC379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176EF1">
        <w:rPr>
          <w:rFonts w:eastAsia="Garamond" w:cs="Arial"/>
          <w:sz w:val="24"/>
          <w:szCs w:val="24"/>
          <w:highlight w:val="yellow"/>
        </w:rPr>
        <w:t>KMBPHA012026-3</w:t>
      </w:r>
    </w:p>
    <w:p w14:paraId="6E629DD5" w14:textId="77777777" w:rsidR="00AC379F" w:rsidRPr="00A23BE0" w:rsidRDefault="00AC379F" w:rsidP="00AC379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84DF15C" w14:textId="77777777" w:rsidR="00AC379F" w:rsidRPr="00A23BE0" w:rsidRDefault="00AC379F" w:rsidP="00AC379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1312F5D" w14:textId="77777777" w:rsidR="00AC379F" w:rsidRPr="00A23BE0" w:rsidRDefault="00AC379F" w:rsidP="00AC379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6F2CD91" w14:textId="77777777" w:rsidR="00AC379F" w:rsidRPr="00A23BE0" w:rsidRDefault="00AC379F" w:rsidP="00AC379F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BC4F1CA" w14:textId="77777777" w:rsidR="00AC379F" w:rsidRPr="00A23BE0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4D7CC27A" w14:textId="77777777" w:rsidR="00AC379F" w:rsidRPr="00A23BE0" w:rsidRDefault="00AC379F" w:rsidP="00AC379F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>
        <w:rPr>
          <w:rFonts w:cs="Arial"/>
          <w:b/>
          <w:bCs/>
          <w:sz w:val="40"/>
          <w:szCs w:val="40"/>
        </w:rPr>
        <w:t xml:space="preserve">R O Z H O D N U T </w:t>
      </w:r>
      <w:r w:rsidRPr="00A23BE0">
        <w:rPr>
          <w:rFonts w:cs="Arial"/>
          <w:b/>
          <w:bCs/>
          <w:sz w:val="40"/>
          <w:szCs w:val="40"/>
        </w:rPr>
        <w:t>Í</w:t>
      </w:r>
    </w:p>
    <w:p w14:paraId="463D91F8" w14:textId="77777777" w:rsidR="00AC379F" w:rsidRPr="00A23BE0" w:rsidRDefault="00AC379F" w:rsidP="00AC379F">
      <w:pPr>
        <w:spacing w:after="120"/>
        <w:jc w:val="both"/>
        <w:rPr>
          <w:rFonts w:cs="Arial"/>
          <w:sz w:val="24"/>
          <w:szCs w:val="24"/>
        </w:rPr>
      </w:pPr>
    </w:p>
    <w:p w14:paraId="4315B428" w14:textId="77777777" w:rsidR="00AC379F" w:rsidRPr="00A23BE0" w:rsidRDefault="00AC379F" w:rsidP="00AC379F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32AD2CF0" w14:textId="77777777" w:rsidR="00AC379F" w:rsidRPr="00A23BE0" w:rsidRDefault="00AC379F" w:rsidP="00AC379F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8A1B4D3" w14:textId="77777777" w:rsidR="00AC379F" w:rsidRDefault="00AC379F" w:rsidP="00AC379F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2EA2E0FD" w14:textId="77777777" w:rsidR="00AC379F" w:rsidRPr="00A23BE0" w:rsidRDefault="00AC379F" w:rsidP="00AC379F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399E17B0" w14:textId="77777777" w:rsidR="00AC379F" w:rsidRPr="00A23BE0" w:rsidRDefault="00AC379F" w:rsidP="00AC379F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00FF833F" w14:textId="77777777" w:rsidR="00AC379F" w:rsidRPr="00A23BE0" w:rsidRDefault="00AC379F" w:rsidP="00AC379F">
      <w:pPr>
        <w:jc w:val="both"/>
        <w:rPr>
          <w:rFonts w:eastAsia="Aptos" w:cs="Arial"/>
          <w:sz w:val="24"/>
          <w:szCs w:val="24"/>
        </w:rPr>
      </w:pPr>
    </w:p>
    <w:bookmarkEnd w:id="2"/>
    <w:p w14:paraId="655AC63A" w14:textId="77777777" w:rsidR="00AC379F" w:rsidRPr="00A23BE0" w:rsidRDefault="00AC379F" w:rsidP="00AC379F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v souladu s § </w:t>
      </w:r>
      <w:r>
        <w:rPr>
          <w:rFonts w:cs="Arial"/>
          <w:b/>
          <w:bCs/>
          <w:sz w:val="24"/>
          <w:szCs w:val="24"/>
          <w14:ligatures w14:val="none"/>
        </w:rPr>
        <w:t>111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</w:t>
      </w:r>
      <w:r>
        <w:rPr>
          <w:rFonts w:cs="Arial"/>
          <w:b/>
          <w:bCs/>
          <w:sz w:val="24"/>
          <w:szCs w:val="24"/>
          <w14:ligatures w14:val="none"/>
        </w:rPr>
        <w:t xml:space="preserve">6, odst. 7 a § 112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zákona č. </w:t>
      </w:r>
      <w:r>
        <w:rPr>
          <w:rFonts w:cs="Arial"/>
          <w:b/>
          <w:bCs/>
          <w:sz w:val="24"/>
          <w:szCs w:val="24"/>
          <w14:ligatures w14:val="none"/>
        </w:rPr>
        <w:t>175</w:t>
      </w:r>
      <w:r w:rsidRPr="003F0786">
        <w:rPr>
          <w:rFonts w:cs="Arial"/>
          <w:b/>
          <w:bCs/>
          <w:sz w:val="24"/>
          <w:szCs w:val="24"/>
          <w14:ligatures w14:val="none"/>
        </w:rPr>
        <w:t>/20</w:t>
      </w:r>
      <w:r>
        <w:rPr>
          <w:rFonts w:cs="Arial"/>
          <w:b/>
          <w:bCs/>
          <w:sz w:val="24"/>
          <w:szCs w:val="24"/>
          <w14:ligatures w14:val="none"/>
        </w:rPr>
        <w:t>25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Sb., </w:t>
      </w:r>
      <w:r w:rsidRPr="00B617C4">
        <w:rPr>
          <w:rFonts w:cs="Arial"/>
          <w:b/>
          <w:bCs/>
          <w:sz w:val="24"/>
          <w:szCs w:val="24"/>
          <w14:ligatures w14:val="none"/>
        </w:rPr>
        <w:t>o poskytování některých opatření v podpoře bydlení</w:t>
      </w:r>
    </w:p>
    <w:p w14:paraId="66737DB4" w14:textId="77777777" w:rsidR="00AC379F" w:rsidRPr="00A23BE0" w:rsidRDefault="00AC379F" w:rsidP="00AC379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653B57A2" w14:textId="77777777" w:rsidR="00AC379F" w:rsidRDefault="00AC379F" w:rsidP="00AC379F">
      <w:pPr>
        <w:pStyle w:val="Odstavecseseznamem"/>
        <w:numPr>
          <w:ilvl w:val="0"/>
          <w:numId w:val="4"/>
        </w:numPr>
        <w:spacing w:after="120"/>
        <w:contextualSpacing w:val="0"/>
        <w:jc w:val="both"/>
      </w:pPr>
      <w:r w:rsidRPr="0036038C">
        <w:rPr>
          <w:rFonts w:cs="Arial"/>
          <w:sz w:val="24"/>
          <w:szCs w:val="24"/>
        </w:rPr>
        <w:t xml:space="preserve">Účastníkovi řízení se uděluje pověření k poskytování asistence v bydlení pro území </w:t>
      </w:r>
      <w:r w:rsidRPr="0036038C">
        <w:rPr>
          <w:rFonts w:eastAsia="Aptos" w:cs="Arial"/>
          <w:sz w:val="24"/>
          <w:szCs w:val="24"/>
        </w:rPr>
        <w:t>&lt;</w:t>
      </w:r>
      <w:r w:rsidRPr="0036038C">
        <w:rPr>
          <w:rFonts w:eastAsia="Aptos" w:cs="Arial"/>
          <w:sz w:val="24"/>
          <w:szCs w:val="24"/>
          <w:highlight w:val="yellow"/>
        </w:rPr>
        <w:t>název kraje</w:t>
      </w:r>
      <w:r w:rsidRPr="0036038C">
        <w:rPr>
          <w:rFonts w:eastAsia="Aptos" w:cs="Arial"/>
          <w:sz w:val="24"/>
          <w:szCs w:val="24"/>
        </w:rPr>
        <w:t>&gt;</w:t>
      </w:r>
      <w:r>
        <w:t>.</w:t>
      </w:r>
    </w:p>
    <w:p w14:paraId="399F5E70" w14:textId="337B4C07" w:rsidR="00AC379F" w:rsidRPr="00330417" w:rsidRDefault="00AC379F" w:rsidP="00AC379F">
      <w:pPr>
        <w:pStyle w:val="Odstavecseseznamem"/>
        <w:numPr>
          <w:ilvl w:val="0"/>
          <w:numId w:val="4"/>
        </w:numPr>
        <w:spacing w:after="120"/>
        <w:contextualSpacing w:val="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&lt;Tímto rozhodnutím se účastníkovi řízení &lt;název poskytovatele, IČO poskytovatele&gt;</w:t>
      </w:r>
      <w:r w:rsidRPr="00330417" w:rsidDel="00132349">
        <w:rPr>
          <w:rFonts w:cs="Arial"/>
          <w:sz w:val="24"/>
          <w:szCs w:val="24"/>
          <w:highlight w:val="yellow"/>
        </w:rPr>
        <w:t xml:space="preserve"> </w:t>
      </w:r>
      <w:r w:rsidRPr="00330417">
        <w:rPr>
          <w:rFonts w:cs="Arial"/>
          <w:sz w:val="24"/>
          <w:szCs w:val="24"/>
          <w:highlight w:val="yellow"/>
        </w:rPr>
        <w:t>poskytuje podpora ve formě podpory de minimis podle Nařízení Komise (EU) 2023/2832 ze dne 13. prosince 2023, o použití článků 107 a 108 Smlouvy o fungování Evropské unie na podporu de minimis udílenou podnikům poskytujícím služby obecného hospodářského zájmu.</w:t>
      </w:r>
    </w:p>
    <w:p w14:paraId="46AA45F6" w14:textId="021ECE77" w:rsidR="00AC379F" w:rsidRPr="00330417" w:rsidRDefault="00AC379F" w:rsidP="00AC379F">
      <w:pPr>
        <w:pStyle w:val="Odstavecseseznamem"/>
        <w:spacing w:after="120"/>
        <w:contextualSpacing w:val="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Podpora bude poskytnuta s účinností ke dni nabytí právní moci tohoto rozhodnutí. Poskytovatel podpory zaznamená údaje o poskytnuté podpoře do Centrálního registru podpor malého rozsahu nejpozději do 20 pracovních dnů ode dne jejího poskytnutí. Pokud při zaznamenání vyjde najevo, že není možné podporu v požadované výši poskytnout, pozbývá žadatel všech práv plynoucích z tohoto rozhodnutí.</w:t>
      </w:r>
      <w:r w:rsidRPr="00330417">
        <w:rPr>
          <w:rFonts w:eastAsia="Aptos" w:cs="Arial"/>
          <w:sz w:val="24"/>
          <w:szCs w:val="24"/>
          <w:highlight w:val="yellow"/>
        </w:rPr>
        <w:t>&gt;</w:t>
      </w:r>
    </w:p>
    <w:p w14:paraId="6F7C9F90" w14:textId="38C4FB21" w:rsidR="00AC379F" w:rsidRPr="00330417" w:rsidRDefault="00AC379F" w:rsidP="00AC379F">
      <w:pPr>
        <w:pStyle w:val="Odstavecseseznamem"/>
        <w:spacing w:after="120"/>
        <w:contextualSpacing w:val="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nebo</w:t>
      </w:r>
    </w:p>
    <w:p w14:paraId="0F13B912" w14:textId="1769BD01" w:rsidR="00AC379F" w:rsidRPr="00AC379F" w:rsidRDefault="00AC379F" w:rsidP="00AC379F">
      <w:pPr>
        <w:pStyle w:val="Odstavecseseznamem"/>
        <w:spacing w:after="120"/>
        <w:contextualSpacing w:val="0"/>
        <w:jc w:val="both"/>
        <w:rPr>
          <w:rFonts w:cs="Arial"/>
          <w:sz w:val="24"/>
          <w:szCs w:val="24"/>
        </w:rPr>
      </w:pPr>
      <w:r w:rsidRPr="00330417">
        <w:rPr>
          <w:rFonts w:cs="Arial"/>
          <w:sz w:val="24"/>
          <w:szCs w:val="24"/>
          <w:highlight w:val="yellow"/>
        </w:rPr>
        <w:t>&lt;Tímto rozhodnutím se účastníkovi řízení &lt;název poskytovatele, IČO poskytovatele&gt;</w:t>
      </w:r>
      <w:r w:rsidRPr="00330417" w:rsidDel="00132349">
        <w:rPr>
          <w:rFonts w:cs="Arial"/>
          <w:sz w:val="24"/>
          <w:szCs w:val="24"/>
          <w:highlight w:val="yellow"/>
        </w:rPr>
        <w:t xml:space="preserve"> </w:t>
      </w:r>
      <w:r w:rsidRPr="00330417">
        <w:rPr>
          <w:rFonts w:cs="Arial"/>
          <w:sz w:val="24"/>
          <w:szCs w:val="24"/>
          <w:highlight w:val="yellow"/>
        </w:rPr>
        <w:t>poskytuje podpora ve formě vyrovnávací platby podle Rozhodnutí Komise 2012/21/EU ze dne 20. prosince 2011, o použití čl. 106 odst. 2 Smlouvy o fungování Evropské unie na státní podporu ve formě vyrovnávací platby za závazek veřejné služby.</w:t>
      </w:r>
      <w:r w:rsidRPr="00330417">
        <w:rPr>
          <w:rFonts w:eastAsia="Aptos" w:cs="Arial"/>
          <w:sz w:val="24"/>
          <w:szCs w:val="24"/>
          <w:highlight w:val="yellow"/>
        </w:rPr>
        <w:t>&gt;</w:t>
      </w:r>
    </w:p>
    <w:p w14:paraId="02AFAC41" w14:textId="77777777" w:rsidR="00AC379F" w:rsidRPr="00A23BE0" w:rsidRDefault="00AC379F" w:rsidP="00AC379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O d ů v o d n ě n í:</w:t>
      </w:r>
    </w:p>
    <w:p w14:paraId="689A93D0" w14:textId="0D257B77" w:rsidR="00AC379F" w:rsidRDefault="00AC379F" w:rsidP="00AC379F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První výrok tohoto rozhodnutí nemá odůvodnění (§ 68 odst. 4 zákona č. 500/2004 Sb., správní řád).</w:t>
      </w:r>
    </w:p>
    <w:p w14:paraId="286FDC62" w14:textId="003E1913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Při zvolení režimu de minimis vygenerovat:</w:t>
      </w:r>
    </w:p>
    <w:p w14:paraId="666659DE" w14:textId="57225976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&lt;Vaše žádost o udělení pověření k poskytování asistence v bydlení byla posouzena z hlediska splnění podmínek pro poskytnutí podpory de minimis v režimu služeb obecného hospodářského zájmu (SGEI) podle Nařízení Komise (EU) 2023/2832.</w:t>
      </w:r>
    </w:p>
    <w:p w14:paraId="7F928850" w14:textId="7773972A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Ověřili jsme, že:</w:t>
      </w:r>
    </w:p>
    <w:p w14:paraId="33847021" w14:textId="76B4FC4E" w:rsidR="00AC379F" w:rsidRPr="00330417" w:rsidRDefault="00AC379F" w:rsidP="00AC379F">
      <w:pPr>
        <w:pStyle w:val="Odstavecseseznamem"/>
        <w:numPr>
          <w:ilvl w:val="0"/>
          <w:numId w:val="2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jste podnikem ve smyslu práva Evropské unie,</w:t>
      </w:r>
    </w:p>
    <w:p w14:paraId="7ACE809F" w14:textId="77777777" w:rsidR="00AC379F" w:rsidRPr="00330417" w:rsidRDefault="00AC379F" w:rsidP="00AC379F">
      <w:pPr>
        <w:pStyle w:val="Odstavecseseznamem"/>
        <w:numPr>
          <w:ilvl w:val="0"/>
          <w:numId w:val="2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poskytovaná služba má charakter služby obecného hospodářského zájmu ve smyslu § 111 odst. 6 zákona č. 175/2025 Sb.,</w:t>
      </w:r>
    </w:p>
    <w:p w14:paraId="5F293D69" w14:textId="77777777" w:rsidR="00AC379F" w:rsidRPr="00330417" w:rsidRDefault="00AC379F" w:rsidP="00AC379F">
      <w:pPr>
        <w:pStyle w:val="Odstavecseseznamem"/>
        <w:numPr>
          <w:ilvl w:val="0"/>
          <w:numId w:val="2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výše podpory nepřesahuje limit 750 000 EUR za tři fiskální roky stanovený v čl. 3 odst. 2 uvedeného nařízení a</w:t>
      </w:r>
    </w:p>
    <w:p w14:paraId="4C25C37B" w14:textId="77777777" w:rsidR="00AC379F" w:rsidRPr="00330417" w:rsidRDefault="00AC379F" w:rsidP="00AC379F">
      <w:pPr>
        <w:pStyle w:val="Odstavecseseznamem"/>
        <w:numPr>
          <w:ilvl w:val="0"/>
          <w:numId w:val="2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podpora bude poskytnuta transparentním způsobem a bude řádně evidována v Centrálním registru podpor malého rozsahu.</w:t>
      </w:r>
    </w:p>
    <w:p w14:paraId="5FC91375" w14:textId="305C5916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Na základě výše uvedeného jsme rozhodli o poskytnutí podpory v režimu de minimis.</w:t>
      </w:r>
      <w:r w:rsidRPr="00330417">
        <w:rPr>
          <w:rFonts w:eastAsia="Aptos" w:cs="Arial"/>
          <w:sz w:val="24"/>
          <w:szCs w:val="24"/>
          <w:highlight w:val="yellow"/>
        </w:rPr>
        <w:t>&gt;</w:t>
      </w:r>
    </w:p>
    <w:p w14:paraId="3FFC5E2C" w14:textId="77777777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 xml:space="preserve"> Alternativně v případě zvolení režimu vyrovnávací platby:</w:t>
      </w:r>
    </w:p>
    <w:p w14:paraId="4FB5A2B0" w14:textId="36E437F5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&lt;Vaše žádost byla posouzena z hlediska možnosti poskytnutí podpory v režimu de minimis podle Nařízení Komise (EU) 2023/2832. Vzhledem k předpokládané výši podpory a charakteru poskytované služby obecného hospodářského zájmu bylo shledáno, že režim de minimis nelze aplikovat, neboť by mohlo dojít k překročení limitu 750 000 EUR za tři fiskální roky stanoveného v čl. 3 odst. 2 uvedeného nařízení.</w:t>
      </w:r>
    </w:p>
    <w:p w14:paraId="062F1893" w14:textId="3F45074D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Z tohoto důvodu jsme podporu stanovili jako vyrovnávací platbu podle Rozhodnutí Komise 2012/21/EU ze dne 20. prosince 2011, o použití čl. 106 odst. 2 Smlouvy o fungování Evropské unie. Podpora bude poskytována jako kompenzace za výkon závazku veřejné služby, přičemž jsme ověřili, že:</w:t>
      </w:r>
    </w:p>
    <w:p w14:paraId="57CE82B0" w14:textId="0FC43ADA" w:rsidR="00AC379F" w:rsidRPr="00330417" w:rsidRDefault="00AC379F" w:rsidP="00AC379F">
      <w:pPr>
        <w:pStyle w:val="Odstavecseseznamem"/>
        <w:numPr>
          <w:ilvl w:val="0"/>
          <w:numId w:val="3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jste byl pověřen výkonem služby obecného hospodářského zájmu podle § 111 odst. 6 zákona č. 175/2025 Sb.,</w:t>
      </w:r>
    </w:p>
    <w:p w14:paraId="28787820" w14:textId="77777777" w:rsidR="00AC379F" w:rsidRPr="00330417" w:rsidRDefault="00AC379F" w:rsidP="00AC379F">
      <w:pPr>
        <w:pStyle w:val="Odstavecseseznamem"/>
        <w:numPr>
          <w:ilvl w:val="0"/>
          <w:numId w:val="3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služba má jasně vymezený veřejný účel a</w:t>
      </w:r>
    </w:p>
    <w:p w14:paraId="30A52377" w14:textId="77777777" w:rsidR="00AC379F" w:rsidRPr="00330417" w:rsidRDefault="00AC379F" w:rsidP="00AC379F">
      <w:pPr>
        <w:pStyle w:val="Odstavecseseznamem"/>
        <w:numPr>
          <w:ilvl w:val="0"/>
          <w:numId w:val="3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výše podpory odpovídá nákladům nezbytným pro výkon závazku veřejné služby a nedochází k nadměrné kompenzaci.</w:t>
      </w:r>
    </w:p>
    <w:p w14:paraId="4A4E5CC7" w14:textId="4AB1B357" w:rsidR="00AC379F" w:rsidRPr="005D1920" w:rsidRDefault="00AC379F" w:rsidP="00AC379F">
      <w:pPr>
        <w:spacing w:after="120"/>
        <w:jc w:val="both"/>
        <w:rPr>
          <w:rFonts w:cs="Arial"/>
          <w:sz w:val="24"/>
          <w:szCs w:val="24"/>
        </w:rPr>
      </w:pPr>
      <w:r w:rsidRPr="00330417">
        <w:rPr>
          <w:rFonts w:cs="Arial"/>
          <w:sz w:val="24"/>
          <w:szCs w:val="24"/>
          <w:highlight w:val="yellow"/>
        </w:rPr>
        <w:t>Na základě výše uvedeného jsme rozhodli o poskytnutí podpory v režimu vyrovnávací platby.</w:t>
      </w:r>
      <w:r w:rsidRPr="00330417">
        <w:rPr>
          <w:rFonts w:eastAsia="Aptos" w:cs="Arial"/>
          <w:sz w:val="24"/>
          <w:szCs w:val="24"/>
          <w:highlight w:val="yellow"/>
        </w:rPr>
        <w:t>&gt;</w:t>
      </w:r>
    </w:p>
    <w:p w14:paraId="3B4A223F" w14:textId="77777777" w:rsidR="00AC379F" w:rsidRDefault="00AC379F" w:rsidP="00AC379F">
      <w:pPr>
        <w:spacing w:before="240" w:after="120"/>
        <w:jc w:val="center"/>
        <w:rPr>
          <w:rFonts w:cs="Arial"/>
          <w:sz w:val="24"/>
          <w:szCs w:val="24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00B669C8" w14:textId="198F99D0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 xml:space="preserve">&lt;Pokud s rozhodnutím nesouhlasíte, můžete do 15 dnů ode dne, co Vám bylo doručeno toto rozhodnutí, podat odvolání u </w:t>
      </w:r>
      <w:r w:rsidRPr="00330417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Pr="00330417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7104DE51" w14:textId="63A46F2F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 xml:space="preserve">Odvolání proti tomuto rozhodnutí má odkladný účinek. </w:t>
      </w:r>
      <w:r w:rsidR="00D9133E" w:rsidRPr="00330417">
        <w:rPr>
          <w:rFonts w:cs="Arial"/>
          <w:sz w:val="24"/>
          <w:szCs w:val="24"/>
          <w:highlight w:val="yellow"/>
        </w:rPr>
        <w:t>To znamená, že když se odvoláte, rozhodnutí nebude účinné, dokud se o odvolání nerozhodne (§ 85 odst. 1 správního řádu).</w:t>
      </w:r>
      <w:r w:rsidRPr="00330417">
        <w:rPr>
          <w:rFonts w:cs="Arial"/>
          <w:sz w:val="24"/>
          <w:szCs w:val="24"/>
          <w:highlight w:val="yellow"/>
        </w:rPr>
        <w:t>&gt;</w:t>
      </w:r>
    </w:p>
    <w:p w14:paraId="62D1C043" w14:textId="77777777" w:rsidR="00AC379F" w:rsidRPr="00330417" w:rsidRDefault="00AC379F" w:rsidP="00AC379F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330417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23C9B2DE" w14:textId="77777777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lastRenderedPageBreak/>
        <w:t xml:space="preserve">&lt;Pokud s tím, že </w:t>
      </w:r>
      <w:r w:rsidRPr="00330417">
        <w:rPr>
          <w:rFonts w:eastAsia="Aptos" w:cs="Arial"/>
          <w:sz w:val="24"/>
          <w:szCs w:val="24"/>
          <w:highlight w:val="yellow"/>
        </w:rPr>
        <w:t xml:space="preserve">jsme </w:t>
      </w:r>
      <w:r w:rsidRPr="00330417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rozklad u </w:t>
      </w:r>
      <w:r w:rsidRPr="00330417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Pr="00330417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16CFD084" w14:textId="254415BD" w:rsidR="00AC379F" w:rsidRPr="00D9133E" w:rsidRDefault="00AC379F" w:rsidP="00D9133E">
      <w:pPr>
        <w:spacing w:after="120"/>
        <w:jc w:val="both"/>
        <w:rPr>
          <w:rFonts w:cs="Arial"/>
          <w:sz w:val="24"/>
          <w:szCs w:val="24"/>
        </w:rPr>
      </w:pPr>
      <w:r w:rsidRPr="00330417">
        <w:rPr>
          <w:rFonts w:cs="Arial"/>
          <w:sz w:val="24"/>
          <w:szCs w:val="24"/>
          <w:highlight w:val="yellow"/>
        </w:rPr>
        <w:t xml:space="preserve">Podání rozkladu proti tomuto rozhodnutí má odkladný účinek. </w:t>
      </w:r>
      <w:r w:rsidR="00D9133E" w:rsidRPr="00330417">
        <w:rPr>
          <w:rFonts w:cs="Arial"/>
          <w:sz w:val="24"/>
          <w:szCs w:val="24"/>
          <w:highlight w:val="yellow"/>
        </w:rPr>
        <w:t>To znamená, že když podáte rozklad, rozhodnutí nebude účinné, dokud se o něm nerozhodne (§ 85 odst. 1 správního řádu).</w:t>
      </w:r>
      <w:r w:rsidRPr="00330417">
        <w:rPr>
          <w:rFonts w:cs="Arial"/>
          <w:sz w:val="24"/>
          <w:szCs w:val="24"/>
          <w:highlight w:val="yellow"/>
        </w:rPr>
        <w:t>&gt;</w:t>
      </w:r>
      <w:bookmarkEnd w:id="0"/>
    </w:p>
    <w:p w14:paraId="3D7F2175" w14:textId="77777777" w:rsidR="00AC379F" w:rsidRDefault="00AC379F" w:rsidP="00AC379F">
      <w:pPr>
        <w:rPr>
          <w:rFonts w:cs="Arial"/>
          <w:sz w:val="24"/>
          <w:szCs w:val="24"/>
        </w:rPr>
      </w:pPr>
    </w:p>
    <w:p w14:paraId="5133669C" w14:textId="77777777" w:rsidR="00AC379F" w:rsidRPr="00A23BE0" w:rsidRDefault="00AC379F" w:rsidP="00AC379F">
      <w:pPr>
        <w:rPr>
          <w:rFonts w:cs="Arial"/>
          <w:sz w:val="24"/>
          <w:szCs w:val="24"/>
        </w:rPr>
      </w:pPr>
    </w:p>
    <w:p w14:paraId="3BF45819" w14:textId="77777777" w:rsidR="00AC379F" w:rsidRPr="00176EF1" w:rsidRDefault="00AC379F" w:rsidP="00AC379F">
      <w:pPr>
        <w:jc w:val="right"/>
        <w:rPr>
          <w:rFonts w:cs="Arial"/>
          <w:sz w:val="24"/>
          <w:szCs w:val="24"/>
          <w:highlight w:val="yellow"/>
        </w:rPr>
      </w:pPr>
      <w:r w:rsidRPr="00176EF1">
        <w:rPr>
          <w:rFonts w:cs="Arial"/>
          <w:sz w:val="24"/>
          <w:szCs w:val="24"/>
          <w:highlight w:val="yellow"/>
        </w:rPr>
        <w:t>Mgr. Marie Jeřábková</w:t>
      </w:r>
    </w:p>
    <w:p w14:paraId="27E4805D" w14:textId="77777777" w:rsidR="00AC379F" w:rsidRPr="00176EF1" w:rsidRDefault="00AC379F" w:rsidP="00AC379F">
      <w:pPr>
        <w:jc w:val="right"/>
        <w:rPr>
          <w:rFonts w:cs="Arial"/>
          <w:sz w:val="24"/>
          <w:szCs w:val="24"/>
          <w:highlight w:val="yellow"/>
        </w:rPr>
      </w:pPr>
      <w:r w:rsidRPr="00176EF1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041D3BFE" w14:textId="77777777" w:rsidR="00AC379F" w:rsidRDefault="00AC379F" w:rsidP="00AC379F"/>
    <w:p w14:paraId="70932855" w14:textId="77777777" w:rsidR="00AC379F" w:rsidRDefault="00AC379F" w:rsidP="00AC379F"/>
    <w:p w14:paraId="587F3366" w14:textId="77777777" w:rsidR="00AC379F" w:rsidRDefault="00AC379F" w:rsidP="00AC379F"/>
    <w:p w14:paraId="7BD88435" w14:textId="77777777" w:rsidR="008A2CB5" w:rsidRDefault="008A2CB5"/>
    <w:sectPr w:rsidR="008A2CB5" w:rsidSect="00AC379F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F06DD1"/>
    <w:multiLevelType w:val="hybridMultilevel"/>
    <w:tmpl w:val="DE90EA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B0D3C"/>
    <w:multiLevelType w:val="hybridMultilevel"/>
    <w:tmpl w:val="94C4C33A"/>
    <w:lvl w:ilvl="0" w:tplc="33F4767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2E3AD5"/>
    <w:multiLevelType w:val="hybridMultilevel"/>
    <w:tmpl w:val="FD30B4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038D2"/>
    <w:multiLevelType w:val="hybridMultilevel"/>
    <w:tmpl w:val="14A6A0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099938">
    <w:abstractNumId w:val="1"/>
  </w:num>
  <w:num w:numId="2" w16cid:durableId="1104227566">
    <w:abstractNumId w:val="0"/>
  </w:num>
  <w:num w:numId="3" w16cid:durableId="1506284758">
    <w:abstractNumId w:val="2"/>
  </w:num>
  <w:num w:numId="4" w16cid:durableId="1410886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79F"/>
    <w:rsid w:val="00172EA4"/>
    <w:rsid w:val="00176EF1"/>
    <w:rsid w:val="00330417"/>
    <w:rsid w:val="004D0FFC"/>
    <w:rsid w:val="004D17A1"/>
    <w:rsid w:val="008A2CB5"/>
    <w:rsid w:val="00AC379F"/>
    <w:rsid w:val="00B03FFD"/>
    <w:rsid w:val="00D9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3C6B"/>
  <w15:chartTrackingRefBased/>
  <w15:docId w15:val="{CDA33FF3-E254-43DC-B67F-B042EFE6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37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AC3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C3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C37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C3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C37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C37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C37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C37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C37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C37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C37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C37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C379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C379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C379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C379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C379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C379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C37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C3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C3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C3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C3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C379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C379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C379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C37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C379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C379F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AC379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C379F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AC379F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446599C9-17B6-4BD8-B975-4A47421D07E2}"/>
</file>

<file path=customXml/itemProps2.xml><?xml version="1.0" encoding="utf-8"?>
<ds:datastoreItem xmlns:ds="http://schemas.openxmlformats.org/officeDocument/2006/customXml" ds:itemID="{2663DAD9-00D1-4070-BA14-4D03A964AE52}"/>
</file>

<file path=customXml/itemProps3.xml><?xml version="1.0" encoding="utf-8"?>
<ds:datastoreItem xmlns:ds="http://schemas.openxmlformats.org/officeDocument/2006/customXml" ds:itemID="{D96D033E-756A-4803-B7DA-E735DD14BB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693</Words>
  <Characters>4095</Characters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2025-08-20T08:36:00Z</dcterms:created>
  <dcterms:modified xsi:type="dcterms:W3CDTF">2025-11-26T09:21:00Z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